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250"/>
        <w:gridCol w:w="2430"/>
        <w:gridCol w:w="23"/>
        <w:gridCol w:w="5737"/>
      </w:tblGrid>
      <w:tr w:rsidR="00681727" w:rsidRPr="00B54668" w:rsidTr="00151FE1">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681727" w:rsidRPr="00B54668" w:rsidRDefault="00681727" w:rsidP="00151FE1">
            <w:pPr>
              <w:contextualSpacing/>
              <w:jc w:val="center"/>
              <w:rPr>
                <w:rFonts w:ascii="Candara" w:hAnsi="Candara"/>
                <w:b/>
                <w:sz w:val="36"/>
                <w:szCs w:val="36"/>
              </w:rPr>
            </w:pPr>
            <w:r w:rsidRPr="00B54668">
              <w:rPr>
                <w:rFonts w:ascii="Candara" w:hAnsi="Candara"/>
                <w:b/>
                <w:sz w:val="36"/>
                <w:szCs w:val="36"/>
              </w:rPr>
              <w:t>Course unit</w:t>
            </w:r>
          </w:p>
          <w:p w:rsidR="00681727" w:rsidRPr="00B54668" w:rsidRDefault="00681727" w:rsidP="00151FE1">
            <w:pPr>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81727" w:rsidRPr="00B54668" w:rsidRDefault="00681727" w:rsidP="00151FE1">
            <w:pPr>
              <w:spacing w:after="200"/>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7"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681727" w:rsidRPr="00B54668" w:rsidRDefault="0040593B" w:rsidP="00151FE1">
            <w:pPr>
              <w:spacing w:after="200" w:line="276" w:lineRule="auto"/>
              <w:rPr>
                <w:rFonts w:ascii="Candara" w:hAnsi="Candara"/>
              </w:rPr>
            </w:pPr>
            <w:r w:rsidRPr="0040593B">
              <w:rPr>
                <w:rFonts w:ascii="Candara" w:hAnsi="Candara"/>
                <w:noProof/>
                <w:lang w:val="de-DE"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58240;mso-position-horizontal-relative:text;mso-position-vertical-relative:text;mso-width-relative:margin;mso-height-relative:margin" stroked="f">
                  <v:textbox style="mso-next-textbox:#_x0000_s1026">
                    <w:txbxContent>
                      <w:p w:rsidR="00681727" w:rsidRDefault="00681727" w:rsidP="00681727">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8"/>
                                      <a:stretch>
                                        <a:fillRect/>
                                      </a:stretch>
                                    </pic:blipFill>
                                    <pic:spPr>
                                      <a:xfrm>
                                        <a:off x="0" y="0"/>
                                        <a:ext cx="3004574" cy="525102"/>
                                      </a:xfrm>
                                      <a:prstGeom prst="rect">
                                        <a:avLst/>
                                      </a:prstGeom>
                                    </pic:spPr>
                                  </pic:pic>
                                </a:graphicData>
                              </a:graphic>
                            </wp:inline>
                          </w:drawing>
                        </w:r>
                      </w:p>
                    </w:txbxContent>
                  </v:textbox>
                </v:shape>
              </w:pict>
            </w:r>
          </w:p>
          <w:p w:rsidR="00681727" w:rsidRPr="00B54668" w:rsidRDefault="00681727" w:rsidP="00151FE1">
            <w:pPr>
              <w:rPr>
                <w:rFonts w:ascii="Candara" w:hAnsi="Candara"/>
              </w:rPr>
            </w:pPr>
          </w:p>
        </w:tc>
      </w:tr>
      <w:tr w:rsidR="00681727" w:rsidRPr="00B54668" w:rsidTr="00151FE1">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681727" w:rsidRPr="00B54668" w:rsidRDefault="00681727" w:rsidP="00151FE1">
            <w:pPr>
              <w:contextualSpacing/>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81727" w:rsidRPr="00B54668" w:rsidRDefault="00681727" w:rsidP="00151FE1">
            <w:pPr>
              <w:contextualSpacing/>
              <w:jc w:val="center"/>
              <w:rPr>
                <w:rFonts w:ascii="Candara" w:hAnsi="Candara"/>
                <w:noProof/>
                <w:lang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681727" w:rsidRPr="00B54668" w:rsidRDefault="00681727" w:rsidP="00151FE1">
            <w:pPr>
              <w:spacing w:after="200" w:line="276" w:lineRule="auto"/>
              <w:rPr>
                <w:rFonts w:ascii="Candara" w:hAnsi="Candara"/>
              </w:rPr>
            </w:pPr>
          </w:p>
        </w:tc>
      </w:tr>
      <w:tr w:rsidR="00681727" w:rsidRPr="00B54668" w:rsidTr="00151FE1">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681727" w:rsidRPr="00C33FB3" w:rsidRDefault="00681727" w:rsidP="00151FE1">
            <w:pPr>
              <w:contextualSpacing/>
              <w:rPr>
                <w:rFonts w:ascii="Candara" w:hAnsi="Candara"/>
                <w:b/>
                <w:sz w:val="20"/>
                <w:szCs w:val="20"/>
              </w:rPr>
            </w:pPr>
            <w:r w:rsidRPr="00C33FB3">
              <w:rPr>
                <w:rFonts w:ascii="Candara" w:hAnsi="Candara"/>
                <w:b/>
                <w:sz w:val="20"/>
                <w:szCs w:val="20"/>
              </w:rPr>
              <w:t>GENERAL INFORMATION</w:t>
            </w:r>
          </w:p>
        </w:tc>
      </w:tr>
      <w:tr w:rsidR="00681727" w:rsidRPr="00FE3074" w:rsidTr="00151FE1">
        <w:trPr>
          <w:trHeight w:val="562"/>
        </w:trPr>
        <w:tc>
          <w:tcPr>
            <w:tcW w:w="4680" w:type="dxa"/>
            <w:gridSpan w:val="2"/>
            <w:shd w:val="clear" w:color="auto" w:fill="auto"/>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Study program in which the course unit is offered</w:t>
            </w:r>
          </w:p>
        </w:tc>
        <w:tc>
          <w:tcPr>
            <w:tcW w:w="5760" w:type="dxa"/>
            <w:gridSpan w:val="2"/>
            <w:shd w:val="clear" w:color="auto" w:fill="auto"/>
            <w:vAlign w:val="center"/>
          </w:tcPr>
          <w:p w:rsidR="00681727" w:rsidRPr="00C33FB3" w:rsidRDefault="00681727" w:rsidP="00151FE1">
            <w:pPr>
              <w:contextualSpacing/>
              <w:rPr>
                <w:rFonts w:ascii="Candara" w:hAnsi="Candara"/>
                <w:b/>
                <w:color w:val="548DD4" w:themeColor="text2" w:themeTint="99"/>
                <w:sz w:val="20"/>
                <w:szCs w:val="20"/>
              </w:rPr>
            </w:pPr>
            <w:r w:rsidRPr="00C33FB3">
              <w:rPr>
                <w:rFonts w:ascii="Candara" w:hAnsi="Candara"/>
                <w:sz w:val="20"/>
                <w:szCs w:val="20"/>
                <w:lang w:val="de-DE"/>
              </w:rPr>
              <w:t>Deutsche Sprache und Literatur</w:t>
            </w:r>
          </w:p>
        </w:tc>
      </w:tr>
      <w:tr w:rsidR="00681727" w:rsidRPr="00FE3074" w:rsidTr="00151FE1">
        <w:trPr>
          <w:trHeight w:val="562"/>
        </w:trPr>
        <w:tc>
          <w:tcPr>
            <w:tcW w:w="468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Course unit title</w:t>
            </w:r>
          </w:p>
        </w:tc>
        <w:tc>
          <w:tcPr>
            <w:tcW w:w="5760" w:type="dxa"/>
            <w:gridSpan w:val="2"/>
            <w:vAlign w:val="center"/>
          </w:tcPr>
          <w:p w:rsidR="00681727" w:rsidRPr="00C33FB3" w:rsidRDefault="00390539" w:rsidP="00151FE1">
            <w:pPr>
              <w:rPr>
                <w:rFonts w:ascii="Candara" w:hAnsi="Candara"/>
                <w:b/>
                <w:sz w:val="20"/>
                <w:szCs w:val="20"/>
              </w:rPr>
            </w:pPr>
            <w:r w:rsidRPr="00C33FB3">
              <w:rPr>
                <w:rFonts w:ascii="Candara" w:hAnsi="Candara"/>
                <w:b/>
                <w:sz w:val="20"/>
                <w:szCs w:val="20"/>
              </w:rPr>
              <w:t>KontrastiveDarstellungdeutscherGrammatiken</w:t>
            </w:r>
          </w:p>
        </w:tc>
      </w:tr>
      <w:tr w:rsidR="00681727" w:rsidRPr="00FE3074" w:rsidTr="00151FE1">
        <w:trPr>
          <w:trHeight w:val="562"/>
        </w:trPr>
        <w:tc>
          <w:tcPr>
            <w:tcW w:w="468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Course unit code</w:t>
            </w:r>
          </w:p>
        </w:tc>
        <w:tc>
          <w:tcPr>
            <w:tcW w:w="5760" w:type="dxa"/>
            <w:gridSpan w:val="2"/>
            <w:vAlign w:val="center"/>
          </w:tcPr>
          <w:p w:rsidR="00681727" w:rsidRPr="00C33FB3" w:rsidRDefault="005E640C" w:rsidP="00151FE1">
            <w:pPr>
              <w:contextualSpacing/>
              <w:rPr>
                <w:rFonts w:ascii="Candara" w:hAnsi="Candara"/>
                <w:sz w:val="20"/>
                <w:szCs w:val="20"/>
              </w:rPr>
            </w:pPr>
            <w:r>
              <w:rPr>
                <w:rFonts w:ascii="Arial" w:hAnsi="Arial" w:cs="Arial"/>
                <w:color w:val="222222"/>
                <w:sz w:val="20"/>
                <w:szCs w:val="20"/>
                <w:shd w:val="clear" w:color="auto" w:fill="FFFFFF"/>
              </w:rPr>
              <w:t>08DFFD</w:t>
            </w:r>
            <w:bookmarkStart w:id="0" w:name="_GoBack"/>
            <w:bookmarkEnd w:id="0"/>
            <w:r>
              <w:rPr>
                <w:rFonts w:ascii="Arial" w:hAnsi="Arial" w:cs="Arial"/>
                <w:color w:val="222222"/>
                <w:sz w:val="20"/>
                <w:szCs w:val="20"/>
                <w:shd w:val="clear" w:color="auto" w:fill="FFFFFF"/>
              </w:rPr>
              <w:t>257</w:t>
            </w:r>
          </w:p>
        </w:tc>
      </w:tr>
      <w:tr w:rsidR="00681727" w:rsidRPr="00FE3074" w:rsidTr="00151FE1">
        <w:trPr>
          <w:trHeight w:val="562"/>
        </w:trPr>
        <w:tc>
          <w:tcPr>
            <w:tcW w:w="468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Type of course unit</w:t>
            </w:r>
            <w:r w:rsidRPr="00C33FB3">
              <w:rPr>
                <w:rStyle w:val="FootnoteReference"/>
                <w:rFonts w:ascii="Candara" w:hAnsi="Candara"/>
                <w:sz w:val="20"/>
                <w:szCs w:val="20"/>
              </w:rPr>
              <w:footnoteReference w:id="1"/>
            </w:r>
          </w:p>
        </w:tc>
        <w:tc>
          <w:tcPr>
            <w:tcW w:w="576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lang w:val="de-DE"/>
              </w:rPr>
              <w:t>Wahlfach</w:t>
            </w:r>
            <w:r w:rsidR="007E1A8B">
              <w:rPr>
                <w:rFonts w:ascii="Candara" w:hAnsi="Candara"/>
                <w:sz w:val="20"/>
                <w:szCs w:val="20"/>
                <w:lang w:val="de-DE"/>
              </w:rPr>
              <w:t xml:space="preserve"> (Optional)</w:t>
            </w:r>
          </w:p>
        </w:tc>
      </w:tr>
      <w:tr w:rsidR="00681727" w:rsidRPr="00FE3074" w:rsidTr="00151FE1">
        <w:trPr>
          <w:trHeight w:val="562"/>
        </w:trPr>
        <w:tc>
          <w:tcPr>
            <w:tcW w:w="468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Level of course unit</w:t>
            </w:r>
            <w:r w:rsidRPr="00C33FB3">
              <w:rPr>
                <w:rStyle w:val="FootnoteReference"/>
                <w:rFonts w:ascii="Candara" w:hAnsi="Candara"/>
                <w:sz w:val="20"/>
                <w:szCs w:val="20"/>
              </w:rPr>
              <w:footnoteReference w:id="2"/>
            </w:r>
          </w:p>
        </w:tc>
        <w:tc>
          <w:tcPr>
            <w:tcW w:w="576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lang w:val="de-DE"/>
              </w:rPr>
              <w:t>Doctoral</w:t>
            </w:r>
          </w:p>
        </w:tc>
      </w:tr>
      <w:tr w:rsidR="00681727" w:rsidRPr="00FE3074" w:rsidTr="00151FE1">
        <w:trPr>
          <w:trHeight w:val="562"/>
        </w:trPr>
        <w:tc>
          <w:tcPr>
            <w:tcW w:w="468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Field of Study (please see ISCED</w:t>
            </w:r>
            <w:r w:rsidRPr="00C33FB3">
              <w:rPr>
                <w:rStyle w:val="FootnoteReference"/>
                <w:rFonts w:ascii="Candara" w:hAnsi="Candara"/>
                <w:sz w:val="20"/>
                <w:szCs w:val="20"/>
              </w:rPr>
              <w:footnoteReference w:id="3"/>
            </w:r>
            <w:r w:rsidRPr="00C33FB3">
              <w:rPr>
                <w:rFonts w:ascii="Candara" w:hAnsi="Candara"/>
                <w:sz w:val="20"/>
                <w:szCs w:val="20"/>
              </w:rPr>
              <w:t>)</w:t>
            </w:r>
          </w:p>
        </w:tc>
        <w:tc>
          <w:tcPr>
            <w:tcW w:w="5760" w:type="dxa"/>
            <w:gridSpan w:val="2"/>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0232 Literatur und Sprachwissenschaft</w:t>
            </w:r>
          </w:p>
        </w:tc>
      </w:tr>
      <w:tr w:rsidR="00681727" w:rsidRPr="00FE3074" w:rsidTr="00151FE1">
        <w:trPr>
          <w:trHeight w:val="562"/>
        </w:trPr>
        <w:tc>
          <w:tcPr>
            <w:tcW w:w="4680" w:type="dxa"/>
            <w:gridSpan w:val="2"/>
            <w:vAlign w:val="center"/>
          </w:tcPr>
          <w:p w:rsidR="00681727" w:rsidRPr="00C33FB3" w:rsidRDefault="00681727" w:rsidP="00151FE1">
            <w:pPr>
              <w:contextualSpacing/>
              <w:rPr>
                <w:rFonts w:ascii="Candara" w:hAnsi="Candara" w:cs="Arial"/>
                <w:sz w:val="20"/>
                <w:szCs w:val="20"/>
              </w:rPr>
            </w:pPr>
            <w:r w:rsidRPr="00C33FB3">
              <w:rPr>
                <w:rFonts w:ascii="Candara" w:hAnsi="Candara"/>
                <w:sz w:val="20"/>
                <w:szCs w:val="20"/>
              </w:rPr>
              <w:t>Semester when the course unit is offered</w:t>
            </w:r>
          </w:p>
        </w:tc>
        <w:tc>
          <w:tcPr>
            <w:tcW w:w="5760" w:type="dxa"/>
            <w:gridSpan w:val="2"/>
            <w:vAlign w:val="center"/>
          </w:tcPr>
          <w:p w:rsidR="00681727" w:rsidRPr="00C33FB3" w:rsidRDefault="00681727" w:rsidP="00151FE1">
            <w:pPr>
              <w:contextualSpacing/>
              <w:rPr>
                <w:rFonts w:ascii="Candara" w:hAnsi="Candara" w:cs="Arial"/>
                <w:sz w:val="20"/>
                <w:szCs w:val="20"/>
              </w:rPr>
            </w:pPr>
            <w:r w:rsidRPr="00C33FB3">
              <w:rPr>
                <w:rFonts w:ascii="Candara" w:hAnsi="Candara" w:cs="Arial"/>
                <w:sz w:val="20"/>
                <w:szCs w:val="20"/>
              </w:rPr>
              <w:t>Winter- und Sommersemester</w:t>
            </w:r>
          </w:p>
        </w:tc>
      </w:tr>
      <w:tr w:rsidR="00681727" w:rsidRPr="00AF25E9" w:rsidTr="00151FE1">
        <w:trPr>
          <w:trHeight w:val="562"/>
        </w:trPr>
        <w:tc>
          <w:tcPr>
            <w:tcW w:w="468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Year of study (if applicable)</w:t>
            </w:r>
          </w:p>
        </w:tc>
        <w:tc>
          <w:tcPr>
            <w:tcW w:w="576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p>
        </w:tc>
      </w:tr>
      <w:tr w:rsidR="00681727" w:rsidRPr="00FE3074" w:rsidTr="00151FE1">
        <w:trPr>
          <w:trHeight w:val="562"/>
        </w:trPr>
        <w:tc>
          <w:tcPr>
            <w:tcW w:w="468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Number of ECTS allocated</w:t>
            </w:r>
          </w:p>
        </w:tc>
        <w:tc>
          <w:tcPr>
            <w:tcW w:w="576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10</w:t>
            </w:r>
          </w:p>
        </w:tc>
      </w:tr>
      <w:tr w:rsidR="00681727" w:rsidRPr="00FE3074" w:rsidTr="00151FE1">
        <w:trPr>
          <w:trHeight w:val="562"/>
        </w:trPr>
        <w:tc>
          <w:tcPr>
            <w:tcW w:w="468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Name of lecturer/lecturers</w:t>
            </w:r>
          </w:p>
        </w:tc>
        <w:tc>
          <w:tcPr>
            <w:tcW w:w="5760" w:type="dxa"/>
            <w:gridSpan w:val="2"/>
            <w:tcBorders>
              <w:bottom w:val="single" w:sz="4" w:space="0" w:color="auto"/>
            </w:tcBorders>
            <w:vAlign w:val="center"/>
          </w:tcPr>
          <w:p w:rsidR="00681727" w:rsidRPr="00C33FB3" w:rsidRDefault="00AF25E9" w:rsidP="00151FE1">
            <w:pPr>
              <w:contextualSpacing/>
              <w:rPr>
                <w:rFonts w:ascii="Candara" w:hAnsi="Candara"/>
                <w:sz w:val="20"/>
                <w:szCs w:val="20"/>
              </w:rPr>
            </w:pPr>
            <w:r>
              <w:rPr>
                <w:rFonts w:ascii="Candara" w:hAnsi="Candara"/>
                <w:sz w:val="20"/>
                <w:szCs w:val="20"/>
              </w:rPr>
              <w:t>Dr</w:t>
            </w:r>
            <w:r w:rsidRPr="00C33FB3">
              <w:rPr>
                <w:rFonts w:ascii="Candara" w:hAnsi="Candara"/>
                <w:sz w:val="20"/>
                <w:szCs w:val="20"/>
              </w:rPr>
              <w:t xml:space="preserve"> </w:t>
            </w:r>
            <w:r w:rsidR="00681727" w:rsidRPr="00C33FB3">
              <w:rPr>
                <w:rFonts w:ascii="Candara" w:hAnsi="Candara"/>
                <w:sz w:val="20"/>
                <w:szCs w:val="20"/>
              </w:rPr>
              <w:t>SanjaNinković</w:t>
            </w:r>
          </w:p>
        </w:tc>
      </w:tr>
      <w:tr w:rsidR="00681727" w:rsidRPr="00FE3074" w:rsidTr="00151FE1">
        <w:trPr>
          <w:trHeight w:val="562"/>
        </w:trPr>
        <w:tc>
          <w:tcPr>
            <w:tcW w:w="468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Name of contact person</w:t>
            </w:r>
          </w:p>
        </w:tc>
        <w:tc>
          <w:tcPr>
            <w:tcW w:w="5760" w:type="dxa"/>
            <w:gridSpan w:val="2"/>
            <w:tcBorders>
              <w:bottom w:val="single" w:sz="4" w:space="0" w:color="auto"/>
            </w:tcBorders>
            <w:vAlign w:val="center"/>
          </w:tcPr>
          <w:p w:rsidR="00681727" w:rsidRPr="00C33FB3" w:rsidRDefault="00AF25E9" w:rsidP="00151FE1">
            <w:pPr>
              <w:contextualSpacing/>
              <w:rPr>
                <w:rFonts w:ascii="Candara" w:hAnsi="Candara"/>
                <w:sz w:val="20"/>
                <w:szCs w:val="20"/>
              </w:rPr>
            </w:pPr>
            <w:r>
              <w:rPr>
                <w:rFonts w:ascii="Candara" w:hAnsi="Candara"/>
                <w:sz w:val="20"/>
                <w:szCs w:val="20"/>
              </w:rPr>
              <w:t>Dr</w:t>
            </w:r>
            <w:r w:rsidRPr="00C33FB3">
              <w:rPr>
                <w:rFonts w:ascii="Candara" w:hAnsi="Candara"/>
                <w:sz w:val="20"/>
                <w:szCs w:val="20"/>
              </w:rPr>
              <w:t xml:space="preserve"> </w:t>
            </w:r>
            <w:r w:rsidR="00681727" w:rsidRPr="00C33FB3">
              <w:rPr>
                <w:rFonts w:ascii="Candara" w:hAnsi="Candara"/>
                <w:sz w:val="20"/>
                <w:szCs w:val="20"/>
              </w:rPr>
              <w:t>SanjaNinković</w:t>
            </w:r>
          </w:p>
        </w:tc>
      </w:tr>
      <w:tr w:rsidR="00681727" w:rsidRPr="00FE3074" w:rsidTr="00151FE1">
        <w:trPr>
          <w:trHeight w:val="562"/>
        </w:trPr>
        <w:tc>
          <w:tcPr>
            <w:tcW w:w="468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Mode of course unit delivery</w:t>
            </w:r>
            <w:r w:rsidRPr="00C33FB3">
              <w:rPr>
                <w:rStyle w:val="FootnoteReference"/>
                <w:rFonts w:ascii="Candara" w:hAnsi="Candara"/>
                <w:sz w:val="20"/>
                <w:szCs w:val="20"/>
              </w:rPr>
              <w:footnoteReference w:id="4"/>
            </w:r>
          </w:p>
        </w:tc>
        <w:tc>
          <w:tcPr>
            <w:tcW w:w="576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 xml:space="preserve">Face-to-face </w:t>
            </w:r>
          </w:p>
        </w:tc>
      </w:tr>
      <w:tr w:rsidR="00681727" w:rsidRPr="00FE3074" w:rsidTr="00151FE1">
        <w:trPr>
          <w:trHeight w:val="562"/>
        </w:trPr>
        <w:tc>
          <w:tcPr>
            <w:tcW w:w="468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Course unit pre-requisites (e.g. level of language required, etc)</w:t>
            </w:r>
          </w:p>
        </w:tc>
        <w:tc>
          <w:tcPr>
            <w:tcW w:w="5760" w:type="dxa"/>
            <w:gridSpan w:val="2"/>
            <w:tcBorders>
              <w:bottom w:val="single" w:sz="4" w:space="0" w:color="auto"/>
            </w:tcBorders>
            <w:vAlign w:val="center"/>
          </w:tcPr>
          <w:p w:rsidR="00681727" w:rsidRPr="00C33FB3" w:rsidRDefault="00681727" w:rsidP="00151FE1">
            <w:pPr>
              <w:contextualSpacing/>
              <w:rPr>
                <w:rFonts w:ascii="Candara" w:hAnsi="Candara"/>
                <w:sz w:val="20"/>
                <w:szCs w:val="20"/>
              </w:rPr>
            </w:pPr>
            <w:r w:rsidRPr="00C33FB3">
              <w:rPr>
                <w:rFonts w:ascii="Candara" w:hAnsi="Candara"/>
                <w:sz w:val="20"/>
                <w:szCs w:val="20"/>
              </w:rPr>
              <w:t>Keine</w:t>
            </w:r>
          </w:p>
        </w:tc>
      </w:tr>
      <w:tr w:rsidR="00681727" w:rsidRPr="00AF25E9" w:rsidTr="00151FE1">
        <w:trPr>
          <w:trHeight w:val="562"/>
        </w:trPr>
        <w:tc>
          <w:tcPr>
            <w:tcW w:w="10440" w:type="dxa"/>
            <w:gridSpan w:val="4"/>
            <w:shd w:val="clear" w:color="auto" w:fill="B8CCE4" w:themeFill="accent1" w:themeFillTint="66"/>
            <w:vAlign w:val="center"/>
          </w:tcPr>
          <w:p w:rsidR="00681727" w:rsidRPr="00C33FB3" w:rsidRDefault="00681727" w:rsidP="00151FE1">
            <w:pPr>
              <w:contextualSpacing/>
              <w:rPr>
                <w:rFonts w:ascii="Candara" w:hAnsi="Candara"/>
                <w:b/>
                <w:sz w:val="20"/>
                <w:szCs w:val="20"/>
              </w:rPr>
            </w:pPr>
            <w:r w:rsidRPr="00C33FB3">
              <w:rPr>
                <w:rFonts w:ascii="Candara" w:hAnsi="Candara"/>
                <w:b/>
                <w:sz w:val="20"/>
                <w:szCs w:val="20"/>
              </w:rPr>
              <w:t>PURPOSE AND OVERVIEW (max 5-10 sentences)</w:t>
            </w:r>
          </w:p>
        </w:tc>
      </w:tr>
      <w:tr w:rsidR="00681727" w:rsidRPr="00622C09" w:rsidTr="00151FE1">
        <w:trPr>
          <w:trHeight w:val="562"/>
        </w:trPr>
        <w:tc>
          <w:tcPr>
            <w:tcW w:w="10440" w:type="dxa"/>
            <w:gridSpan w:val="4"/>
            <w:vAlign w:val="center"/>
          </w:tcPr>
          <w:p w:rsidR="00681727" w:rsidRPr="00C33FB3" w:rsidRDefault="00390539" w:rsidP="00151FE1">
            <w:pPr>
              <w:contextualSpacing/>
              <w:rPr>
                <w:rFonts w:ascii="Candara" w:hAnsi="Candara"/>
                <w:i/>
                <w:sz w:val="20"/>
                <w:szCs w:val="20"/>
                <w:lang w:val="de-DE"/>
              </w:rPr>
            </w:pPr>
            <w:r w:rsidRPr="00C33FB3">
              <w:rPr>
                <w:rFonts w:ascii="Candara" w:hAnsi="Candara"/>
                <w:sz w:val="20"/>
                <w:szCs w:val="20"/>
                <w:lang w:val="de-DE"/>
              </w:rPr>
              <w:t xml:space="preserve">Darstellung der Grammatiken der deutschen Sprache von ihren Anfängen bis zu den gegenwärtigen Grammatikmodellen zur Beschreibung der deutschen Sprache, mit Schwerpunkt auf dem 20. </w:t>
            </w:r>
            <w:r w:rsidRPr="00C33FB3">
              <w:rPr>
                <w:rFonts w:ascii="Candara" w:hAnsi="Candara"/>
                <w:sz w:val="20"/>
                <w:szCs w:val="20"/>
              </w:rPr>
              <w:t>Jahrhundert.</w:t>
            </w:r>
          </w:p>
        </w:tc>
      </w:tr>
      <w:tr w:rsidR="00681727" w:rsidRPr="00AF25E9" w:rsidTr="00151FE1">
        <w:trPr>
          <w:trHeight w:val="562"/>
        </w:trPr>
        <w:tc>
          <w:tcPr>
            <w:tcW w:w="10440" w:type="dxa"/>
            <w:gridSpan w:val="4"/>
            <w:shd w:val="clear" w:color="auto" w:fill="B8CCE4" w:themeFill="accent1" w:themeFillTint="66"/>
            <w:vAlign w:val="center"/>
          </w:tcPr>
          <w:p w:rsidR="00681727" w:rsidRPr="00C33FB3" w:rsidRDefault="00681727" w:rsidP="00151FE1">
            <w:pPr>
              <w:contextualSpacing/>
              <w:rPr>
                <w:rFonts w:ascii="Candara" w:hAnsi="Candara"/>
                <w:b/>
                <w:sz w:val="20"/>
                <w:szCs w:val="20"/>
              </w:rPr>
            </w:pPr>
            <w:r w:rsidRPr="00C33FB3">
              <w:rPr>
                <w:rFonts w:ascii="Candara" w:hAnsi="Candara"/>
                <w:b/>
                <w:sz w:val="20"/>
                <w:szCs w:val="20"/>
              </w:rPr>
              <w:t>LEARNING OUTCOMES (knowledge and skills)</w:t>
            </w:r>
          </w:p>
        </w:tc>
      </w:tr>
      <w:tr w:rsidR="00681727" w:rsidRPr="00622C09" w:rsidTr="00151FE1">
        <w:trPr>
          <w:trHeight w:val="562"/>
        </w:trPr>
        <w:tc>
          <w:tcPr>
            <w:tcW w:w="10440" w:type="dxa"/>
            <w:gridSpan w:val="4"/>
            <w:shd w:val="clear" w:color="auto" w:fill="auto"/>
            <w:vAlign w:val="center"/>
          </w:tcPr>
          <w:p w:rsidR="00681727" w:rsidRPr="00C33FB3" w:rsidRDefault="00390539" w:rsidP="00151FE1">
            <w:pPr>
              <w:contextualSpacing/>
              <w:rPr>
                <w:rFonts w:ascii="Candara" w:hAnsi="Candara"/>
                <w:b/>
                <w:sz w:val="20"/>
                <w:szCs w:val="20"/>
                <w:lang w:val="de-DE"/>
              </w:rPr>
            </w:pPr>
            <w:r w:rsidRPr="00C33FB3">
              <w:rPr>
                <w:rFonts w:ascii="Candara" w:hAnsi="Candara"/>
                <w:sz w:val="20"/>
                <w:szCs w:val="20"/>
                <w:lang w:val="de-DE"/>
              </w:rPr>
              <w:t>Durch eine systematische Darstellung der Grammatikmodelle vom Aspekt der Allgemeinen Linguistik erhalten die Studierenden einen allgemeinen Überblick über die gegenwärtigen Strömungen und Tendenzen der Linguistik, sowie einen Einblick in die Grammatikmodelle in der Gegenwartsgermanistik.</w:t>
            </w:r>
          </w:p>
        </w:tc>
      </w:tr>
      <w:tr w:rsidR="00681727" w:rsidRPr="00AF25E9" w:rsidTr="00151FE1">
        <w:trPr>
          <w:trHeight w:val="562"/>
        </w:trPr>
        <w:tc>
          <w:tcPr>
            <w:tcW w:w="10440" w:type="dxa"/>
            <w:gridSpan w:val="4"/>
            <w:shd w:val="clear" w:color="auto" w:fill="B8CCE4" w:themeFill="accent1" w:themeFillTint="66"/>
            <w:vAlign w:val="center"/>
          </w:tcPr>
          <w:p w:rsidR="00681727" w:rsidRPr="00C33FB3" w:rsidRDefault="00681727" w:rsidP="00151FE1">
            <w:pPr>
              <w:tabs>
                <w:tab w:val="left" w:pos="360"/>
              </w:tabs>
              <w:rPr>
                <w:rFonts w:ascii="Candara" w:hAnsi="Candara"/>
                <w:b/>
                <w:sz w:val="20"/>
                <w:szCs w:val="20"/>
              </w:rPr>
            </w:pPr>
            <w:r w:rsidRPr="00C33FB3">
              <w:rPr>
                <w:rFonts w:ascii="Candara" w:hAnsi="Candara"/>
                <w:b/>
                <w:sz w:val="20"/>
                <w:szCs w:val="20"/>
              </w:rPr>
              <w:lastRenderedPageBreak/>
              <w:t>SYLLABUS (outline and summary of topics)</w:t>
            </w:r>
          </w:p>
        </w:tc>
      </w:tr>
      <w:tr w:rsidR="00681727" w:rsidRPr="00622C09" w:rsidTr="00151FE1">
        <w:trPr>
          <w:trHeight w:val="562"/>
        </w:trPr>
        <w:tc>
          <w:tcPr>
            <w:tcW w:w="10440" w:type="dxa"/>
            <w:gridSpan w:val="4"/>
            <w:shd w:val="clear" w:color="auto" w:fill="auto"/>
            <w:vAlign w:val="center"/>
          </w:tcPr>
          <w:p w:rsidR="00681727" w:rsidRPr="00C33FB3" w:rsidRDefault="00681727" w:rsidP="00151FE1">
            <w:pPr>
              <w:rPr>
                <w:rFonts w:ascii="Candara" w:hAnsi="Candara"/>
                <w:sz w:val="20"/>
                <w:szCs w:val="20"/>
                <w:lang w:val="de-DE"/>
              </w:rPr>
            </w:pPr>
            <w:r w:rsidRPr="00C33FB3">
              <w:rPr>
                <w:rFonts w:ascii="Candara" w:hAnsi="Candara"/>
                <w:sz w:val="20"/>
                <w:szCs w:val="20"/>
                <w:lang w:val="de-DE"/>
              </w:rPr>
              <w:t>Theoretischer Unterricht:</w:t>
            </w:r>
          </w:p>
          <w:p w:rsidR="00390539" w:rsidRPr="00C33FB3" w:rsidRDefault="00390539" w:rsidP="00390539">
            <w:pPr>
              <w:jc w:val="both"/>
              <w:rPr>
                <w:rFonts w:ascii="Candara" w:hAnsi="Candara"/>
                <w:sz w:val="20"/>
                <w:szCs w:val="20"/>
                <w:lang w:val="de-DE"/>
              </w:rPr>
            </w:pPr>
            <w:r w:rsidRPr="00C33FB3">
              <w:rPr>
                <w:rFonts w:ascii="Candara" w:hAnsi="Candara"/>
                <w:sz w:val="20"/>
                <w:szCs w:val="20"/>
                <w:lang w:val="de-DE"/>
              </w:rPr>
              <w:t>I Grammatiken aus der frühneuhochdeutschen Periode bis Adelung;</w:t>
            </w:r>
          </w:p>
          <w:p w:rsidR="00390539" w:rsidRPr="00C33FB3" w:rsidRDefault="00390539" w:rsidP="00390539">
            <w:pPr>
              <w:jc w:val="both"/>
              <w:rPr>
                <w:rFonts w:ascii="Candara" w:hAnsi="Candara"/>
                <w:sz w:val="20"/>
                <w:szCs w:val="20"/>
                <w:lang w:val="de-DE"/>
              </w:rPr>
            </w:pPr>
            <w:r w:rsidRPr="00C33FB3">
              <w:rPr>
                <w:rFonts w:ascii="Candara" w:hAnsi="Candara"/>
                <w:sz w:val="20"/>
                <w:szCs w:val="20"/>
                <w:lang w:val="de-DE"/>
              </w:rPr>
              <w:t>II Grammatiken des 19. Jahrhunderts bis zur Dependenzgrammatik – L. Tesnière;</w:t>
            </w:r>
          </w:p>
          <w:p w:rsidR="00390539" w:rsidRPr="00E16899" w:rsidRDefault="00390539" w:rsidP="00390539">
            <w:pPr>
              <w:jc w:val="both"/>
              <w:rPr>
                <w:rFonts w:ascii="Candara" w:hAnsi="Candara"/>
                <w:sz w:val="20"/>
                <w:szCs w:val="20"/>
                <w:lang w:val="de-DE"/>
              </w:rPr>
            </w:pPr>
            <w:r w:rsidRPr="00C33FB3">
              <w:rPr>
                <w:rFonts w:ascii="Candara" w:hAnsi="Candara"/>
                <w:sz w:val="20"/>
                <w:szCs w:val="20"/>
                <w:lang w:val="de-DE"/>
              </w:rPr>
              <w:t xml:space="preserve">III Grammatiken in der zweiten Hälfte des 20. und am Anfang des 21. </w:t>
            </w:r>
            <w:r w:rsidRPr="00E16899">
              <w:rPr>
                <w:rFonts w:ascii="Candara" w:hAnsi="Candara"/>
                <w:sz w:val="20"/>
                <w:szCs w:val="20"/>
                <w:lang w:val="de-DE"/>
              </w:rPr>
              <w:t>Jahrhunderts – bis zur Gegenwart vertretene Grammatikmodelle.</w:t>
            </w:r>
          </w:p>
          <w:p w:rsidR="00681727" w:rsidRPr="00C33FB3" w:rsidRDefault="00681727" w:rsidP="00151FE1">
            <w:pPr>
              <w:rPr>
                <w:rFonts w:ascii="Candara" w:hAnsi="Candara"/>
                <w:sz w:val="20"/>
                <w:szCs w:val="20"/>
                <w:lang w:val="de-DE"/>
              </w:rPr>
            </w:pPr>
          </w:p>
          <w:p w:rsidR="00681727" w:rsidRPr="00C33FB3" w:rsidRDefault="00681727" w:rsidP="00151FE1">
            <w:pPr>
              <w:rPr>
                <w:rFonts w:ascii="Candara" w:hAnsi="Candara"/>
                <w:sz w:val="20"/>
                <w:szCs w:val="20"/>
                <w:lang w:val="de-DE"/>
              </w:rPr>
            </w:pPr>
            <w:r w:rsidRPr="00C33FB3">
              <w:rPr>
                <w:rFonts w:ascii="Candara" w:hAnsi="Candara"/>
                <w:sz w:val="20"/>
                <w:szCs w:val="20"/>
                <w:lang w:val="de-DE"/>
              </w:rPr>
              <w:t>Praktischer Unterricht:</w:t>
            </w:r>
          </w:p>
          <w:p w:rsidR="00681727" w:rsidRPr="00C33FB3" w:rsidRDefault="00681727" w:rsidP="00151FE1">
            <w:pPr>
              <w:tabs>
                <w:tab w:val="left" w:pos="360"/>
              </w:tabs>
              <w:rPr>
                <w:rFonts w:ascii="Candara" w:hAnsi="Candara"/>
                <w:b/>
                <w:sz w:val="20"/>
                <w:szCs w:val="20"/>
                <w:lang w:val="de-DE"/>
              </w:rPr>
            </w:pPr>
            <w:r w:rsidRPr="00C33FB3">
              <w:rPr>
                <w:rFonts w:ascii="Candara" w:hAnsi="Candara"/>
                <w:sz w:val="20"/>
                <w:szCs w:val="20"/>
                <w:lang w:val="de-DE"/>
              </w:rPr>
              <w:t>Im Rahmen des praktischen Unterrichts werden die Ergebnisse der Forschungsarbeit präsentiert.</w:t>
            </w:r>
          </w:p>
        </w:tc>
      </w:tr>
      <w:tr w:rsidR="00681727" w:rsidRPr="00AF25E9" w:rsidTr="00151FE1">
        <w:trPr>
          <w:trHeight w:val="562"/>
        </w:trPr>
        <w:tc>
          <w:tcPr>
            <w:tcW w:w="10440" w:type="dxa"/>
            <w:gridSpan w:val="4"/>
            <w:shd w:val="clear" w:color="auto" w:fill="B8CCE4" w:themeFill="accent1" w:themeFillTint="66"/>
            <w:vAlign w:val="center"/>
          </w:tcPr>
          <w:p w:rsidR="00681727" w:rsidRPr="00C33FB3" w:rsidRDefault="00681727" w:rsidP="00151FE1">
            <w:pPr>
              <w:contextualSpacing/>
              <w:rPr>
                <w:rFonts w:ascii="Candara" w:hAnsi="Candara"/>
                <w:sz w:val="20"/>
                <w:szCs w:val="20"/>
              </w:rPr>
            </w:pPr>
            <w:r w:rsidRPr="00C33FB3">
              <w:rPr>
                <w:rFonts w:ascii="Candara" w:hAnsi="Candara"/>
                <w:b/>
                <w:sz w:val="20"/>
                <w:szCs w:val="20"/>
              </w:rPr>
              <w:t>LEARNING AND TEACHING (</w:t>
            </w:r>
            <w:r w:rsidRPr="00C33FB3">
              <w:rPr>
                <w:rFonts w:ascii="Candara" w:hAnsi="Candara"/>
                <w:sz w:val="20"/>
                <w:szCs w:val="20"/>
              </w:rPr>
              <w:t xml:space="preserve">planned learning activities and teaching methods) </w:t>
            </w:r>
          </w:p>
        </w:tc>
      </w:tr>
      <w:tr w:rsidR="00681727" w:rsidRPr="00622C09" w:rsidTr="00151FE1">
        <w:trPr>
          <w:trHeight w:val="562"/>
        </w:trPr>
        <w:tc>
          <w:tcPr>
            <w:tcW w:w="10440" w:type="dxa"/>
            <w:gridSpan w:val="4"/>
            <w:shd w:val="clear" w:color="auto" w:fill="auto"/>
            <w:vAlign w:val="center"/>
          </w:tcPr>
          <w:p w:rsidR="00681727" w:rsidRPr="00C33FB3" w:rsidRDefault="00390539" w:rsidP="00151FE1">
            <w:pPr>
              <w:contextualSpacing/>
              <w:rPr>
                <w:rFonts w:ascii="Candara" w:hAnsi="Candara"/>
                <w:b/>
                <w:sz w:val="20"/>
                <w:szCs w:val="20"/>
                <w:lang w:val="de-DE"/>
              </w:rPr>
            </w:pPr>
            <w:r w:rsidRPr="00C33FB3">
              <w:rPr>
                <w:rFonts w:ascii="Candara" w:hAnsi="Candara"/>
                <w:sz w:val="20"/>
                <w:szCs w:val="20"/>
                <w:lang w:val="de-DE"/>
              </w:rPr>
              <w:t>Theorethischer Unterricht: interaktiv. Forschungsarbeit: konsultativ.</w:t>
            </w:r>
          </w:p>
        </w:tc>
      </w:tr>
      <w:tr w:rsidR="00681727" w:rsidRPr="00FE3074" w:rsidTr="00151FE1">
        <w:trPr>
          <w:trHeight w:val="562"/>
        </w:trPr>
        <w:tc>
          <w:tcPr>
            <w:tcW w:w="10440" w:type="dxa"/>
            <w:gridSpan w:val="4"/>
            <w:shd w:val="clear" w:color="auto" w:fill="B8CCE4" w:themeFill="accent1" w:themeFillTint="66"/>
            <w:vAlign w:val="center"/>
          </w:tcPr>
          <w:p w:rsidR="00681727" w:rsidRPr="00C33FB3" w:rsidRDefault="00681727" w:rsidP="00151FE1">
            <w:pPr>
              <w:tabs>
                <w:tab w:val="left" w:pos="360"/>
              </w:tabs>
              <w:contextualSpacing/>
              <w:rPr>
                <w:rFonts w:ascii="Candara" w:hAnsi="Candara"/>
                <w:b/>
                <w:sz w:val="20"/>
                <w:szCs w:val="20"/>
              </w:rPr>
            </w:pPr>
            <w:r w:rsidRPr="00C33FB3">
              <w:rPr>
                <w:rFonts w:ascii="Candara" w:hAnsi="Candara"/>
                <w:b/>
                <w:sz w:val="20"/>
                <w:szCs w:val="20"/>
              </w:rPr>
              <w:t>REQUIRED READING</w:t>
            </w:r>
          </w:p>
        </w:tc>
      </w:tr>
      <w:tr w:rsidR="00681727" w:rsidRPr="00705D90" w:rsidTr="00151FE1">
        <w:trPr>
          <w:trHeight w:val="562"/>
        </w:trPr>
        <w:tc>
          <w:tcPr>
            <w:tcW w:w="10440" w:type="dxa"/>
            <w:gridSpan w:val="4"/>
            <w:shd w:val="clear" w:color="auto" w:fill="auto"/>
            <w:vAlign w:val="center"/>
          </w:tcPr>
          <w:p w:rsidR="00681727" w:rsidRPr="00C33FB3" w:rsidRDefault="00705D90" w:rsidP="004D7588">
            <w:pPr>
              <w:pStyle w:val="ListParagraph"/>
              <w:numPr>
                <w:ilvl w:val="0"/>
                <w:numId w:val="2"/>
              </w:numPr>
              <w:tabs>
                <w:tab w:val="left" w:pos="360"/>
              </w:tabs>
              <w:spacing w:after="0" w:line="240" w:lineRule="auto"/>
              <w:ind w:left="612" w:hanging="252"/>
              <w:jc w:val="left"/>
              <w:rPr>
                <w:rFonts w:ascii="Candara" w:hAnsi="Candara"/>
                <w:lang w:val="de-DE"/>
              </w:rPr>
            </w:pPr>
            <w:r w:rsidRPr="00C33FB3">
              <w:rPr>
                <w:rFonts w:ascii="Candara" w:hAnsi="Candara"/>
                <w:lang w:val="ru-RU"/>
              </w:rPr>
              <w:t>Á</w:t>
            </w:r>
            <w:r w:rsidRPr="00C33FB3">
              <w:rPr>
                <w:rFonts w:ascii="Candara" w:hAnsi="Candara"/>
                <w:lang w:val="de-DE"/>
              </w:rPr>
              <w:t>gel</w:t>
            </w:r>
            <w:r w:rsidRPr="00C33FB3">
              <w:rPr>
                <w:rFonts w:ascii="Candara" w:hAnsi="Candara"/>
                <w:lang w:val="ru-RU"/>
              </w:rPr>
              <w:t xml:space="preserve">, </w:t>
            </w:r>
            <w:r w:rsidRPr="00C33FB3">
              <w:rPr>
                <w:rFonts w:ascii="Candara" w:hAnsi="Candara"/>
                <w:lang w:val="de-DE"/>
              </w:rPr>
              <w:t>Vilmos</w:t>
            </w:r>
            <w:r w:rsidR="000E2C16" w:rsidRPr="00C33FB3">
              <w:rPr>
                <w:rFonts w:ascii="Candara" w:hAnsi="Candara"/>
                <w:lang w:val="de-DE"/>
              </w:rPr>
              <w:t xml:space="preserve"> (2000)</w:t>
            </w:r>
            <w:r w:rsidRPr="00C33FB3">
              <w:rPr>
                <w:rFonts w:ascii="Candara" w:hAnsi="Candara"/>
                <w:i/>
                <w:lang w:val="de-DE"/>
              </w:rPr>
              <w:t xml:space="preserve"> Valenztheorie</w:t>
            </w:r>
            <w:r w:rsidRPr="00C33FB3">
              <w:rPr>
                <w:rFonts w:ascii="Candara" w:hAnsi="Candara"/>
                <w:lang w:val="de-DE"/>
              </w:rPr>
              <w:t>. Tübingen: Narr</w:t>
            </w:r>
            <w:r w:rsidRPr="00C33FB3">
              <w:rPr>
                <w:rFonts w:ascii="Candara" w:hAnsi="Candara"/>
                <w:bCs/>
                <w:color w:val="000000"/>
                <w:kern w:val="36"/>
                <w:lang w:val="de-DE"/>
              </w:rPr>
              <w:t>.</w:t>
            </w:r>
          </w:p>
          <w:p w:rsidR="007F71FD" w:rsidRPr="00C33FB3" w:rsidRDefault="007F71FD" w:rsidP="004D7588">
            <w:pPr>
              <w:pStyle w:val="ListParagraph"/>
              <w:numPr>
                <w:ilvl w:val="0"/>
                <w:numId w:val="2"/>
              </w:numPr>
              <w:spacing w:after="0" w:line="240" w:lineRule="auto"/>
              <w:ind w:left="612" w:hanging="252"/>
              <w:rPr>
                <w:rFonts w:ascii="Candara" w:eastAsia="ArialMT" w:hAnsi="Candara"/>
                <w:lang w:val="sr-Cyrl-CS"/>
              </w:rPr>
            </w:pPr>
            <w:r w:rsidRPr="00C33FB3">
              <w:rPr>
                <w:rFonts w:ascii="Candara" w:eastAsiaTheme="minorHAnsi" w:hAnsi="Candara"/>
                <w:lang w:val="de-DE"/>
              </w:rPr>
              <w:t xml:space="preserve">Bogner, Stephan (2007): </w:t>
            </w:r>
            <w:r w:rsidRPr="00C33FB3">
              <w:rPr>
                <w:rFonts w:ascii="Candara" w:eastAsiaTheme="minorHAnsi" w:hAnsi="Candara"/>
                <w:i/>
                <w:lang w:val="de-DE"/>
              </w:rPr>
              <w:t>Geschichte der deutschen Sprache im Überblick</w:t>
            </w:r>
            <w:r w:rsidRPr="00C33FB3">
              <w:rPr>
                <w:rFonts w:ascii="Candara" w:eastAsiaTheme="minorHAnsi" w:hAnsi="Candara"/>
                <w:lang w:val="de-DE"/>
              </w:rPr>
              <w:t>.Veszprém: Germanistisches Institut</w:t>
            </w:r>
            <w:r w:rsidR="008D22F4" w:rsidRPr="00C33FB3">
              <w:rPr>
                <w:rFonts w:ascii="Candara" w:eastAsiaTheme="minorHAnsi" w:hAnsi="Candara"/>
                <w:lang w:val="de-DE"/>
              </w:rPr>
              <w:t>.</w:t>
            </w:r>
          </w:p>
          <w:p w:rsidR="007F71FD" w:rsidRPr="00E16899" w:rsidRDefault="007F71FD" w:rsidP="004D7588">
            <w:pPr>
              <w:pStyle w:val="ListParagraph"/>
              <w:numPr>
                <w:ilvl w:val="0"/>
                <w:numId w:val="2"/>
              </w:numPr>
              <w:spacing w:after="0" w:line="240" w:lineRule="auto"/>
              <w:ind w:left="612" w:hanging="252"/>
              <w:rPr>
                <w:rFonts w:ascii="Candara" w:eastAsiaTheme="minorHAnsi" w:hAnsi="Candara"/>
                <w:bCs/>
                <w:lang w:val="de-DE"/>
              </w:rPr>
            </w:pPr>
            <w:r w:rsidRPr="00E16899">
              <w:rPr>
                <w:rFonts w:ascii="Candara" w:eastAsiaTheme="minorHAnsi" w:hAnsi="Candara"/>
                <w:lang w:val="de-DE"/>
              </w:rPr>
              <w:t xml:space="preserve">Dudenredaktion (Hrsg.) (2006): </w:t>
            </w:r>
            <w:r w:rsidRPr="00E16899">
              <w:rPr>
                <w:rFonts w:ascii="Candara" w:eastAsiaTheme="minorHAnsi" w:hAnsi="Candara"/>
                <w:bCs/>
                <w:i/>
                <w:lang w:val="de-DE"/>
              </w:rPr>
              <w:t xml:space="preserve">Duden </w:t>
            </w:r>
            <w:r w:rsidRPr="00E16899">
              <w:rPr>
                <w:rFonts w:ascii="Candara" w:eastAsiaTheme="minorHAnsi" w:hAnsi="Candara"/>
                <w:i/>
                <w:lang w:val="de-DE"/>
              </w:rPr>
              <w:t>– Die Grammatik</w:t>
            </w:r>
            <w:r w:rsidRPr="00E16899">
              <w:rPr>
                <w:rFonts w:ascii="Candara" w:eastAsiaTheme="minorHAnsi" w:hAnsi="Candara"/>
                <w:lang w:val="de-DE"/>
              </w:rPr>
              <w:t xml:space="preserve">.Mannheim: Dudenverlag. </w:t>
            </w:r>
          </w:p>
          <w:p w:rsidR="007F71FD" w:rsidRPr="00E16899" w:rsidRDefault="007F71FD" w:rsidP="004D7588">
            <w:pPr>
              <w:pStyle w:val="ListParagraph"/>
              <w:numPr>
                <w:ilvl w:val="0"/>
                <w:numId w:val="2"/>
              </w:numPr>
              <w:spacing w:after="0" w:line="240" w:lineRule="auto"/>
              <w:ind w:left="612" w:hanging="252"/>
              <w:rPr>
                <w:rFonts w:ascii="Candara" w:eastAsiaTheme="minorHAnsi" w:hAnsi="Candara"/>
                <w:bCs/>
                <w:lang w:val="de-DE"/>
              </w:rPr>
            </w:pPr>
            <w:r w:rsidRPr="00E16899">
              <w:rPr>
                <w:rFonts w:ascii="Candara" w:eastAsiaTheme="minorHAnsi" w:hAnsi="Candara"/>
                <w:bCs/>
                <w:lang w:val="de-DE"/>
              </w:rPr>
              <w:t>Eisenber</w:t>
            </w:r>
            <w:r w:rsidRPr="00E16899">
              <w:rPr>
                <w:rFonts w:ascii="Candara" w:eastAsiaTheme="minorHAnsi" w:hAnsi="Candara"/>
                <w:lang w:val="de-DE"/>
              </w:rPr>
              <w:t xml:space="preserve">g, Peter (1994): </w:t>
            </w:r>
            <w:r w:rsidRPr="00E16899">
              <w:rPr>
                <w:rFonts w:ascii="Candara" w:eastAsiaTheme="minorHAnsi" w:hAnsi="Candara"/>
                <w:i/>
                <w:lang w:val="de-DE"/>
              </w:rPr>
              <w:t>Grundriss der deutschen Grammatik</w:t>
            </w:r>
            <w:r w:rsidRPr="00E16899">
              <w:rPr>
                <w:rFonts w:ascii="Candara" w:eastAsiaTheme="minorHAnsi" w:hAnsi="Candara"/>
                <w:lang w:val="de-DE"/>
              </w:rPr>
              <w:t xml:space="preserve">.Stuttgart / Weimar: </w:t>
            </w:r>
            <w:r w:rsidRPr="00E16899">
              <w:rPr>
                <w:rFonts w:ascii="Candara" w:eastAsia="Calibri" w:hAnsi="Candara"/>
                <w:lang w:val="de-DE"/>
              </w:rPr>
              <w:t xml:space="preserve">Metzler. </w:t>
            </w:r>
          </w:p>
          <w:p w:rsidR="007F71FD" w:rsidRPr="00E16899" w:rsidRDefault="007F71FD" w:rsidP="004D7588">
            <w:pPr>
              <w:pStyle w:val="ListParagraph"/>
              <w:numPr>
                <w:ilvl w:val="0"/>
                <w:numId w:val="2"/>
              </w:numPr>
              <w:spacing w:after="0" w:line="240" w:lineRule="auto"/>
              <w:ind w:left="612" w:hanging="252"/>
              <w:rPr>
                <w:rFonts w:ascii="Candara" w:eastAsiaTheme="minorHAnsi" w:hAnsi="Candara"/>
                <w:lang w:val="de-DE"/>
              </w:rPr>
            </w:pPr>
            <w:r w:rsidRPr="00E16899">
              <w:rPr>
                <w:rFonts w:ascii="Candara" w:eastAsiaTheme="minorHAnsi" w:hAnsi="Candara"/>
                <w:lang w:val="de-DE"/>
              </w:rPr>
              <w:t xml:space="preserve">Engel, Ulrich (1994): </w:t>
            </w:r>
            <w:r w:rsidRPr="00E16899">
              <w:rPr>
                <w:rFonts w:ascii="Candara" w:eastAsiaTheme="minorHAnsi" w:hAnsi="Candara"/>
                <w:i/>
                <w:lang w:val="de-DE"/>
              </w:rPr>
              <w:t>Syntax der deutschen Gegenwartssprache</w:t>
            </w:r>
            <w:r w:rsidRPr="00E16899">
              <w:rPr>
                <w:rFonts w:ascii="Candara" w:eastAsiaTheme="minorHAnsi" w:hAnsi="Candara"/>
                <w:lang w:val="de-DE"/>
              </w:rPr>
              <w:t>.Berlin: Erich Schmidt.</w:t>
            </w:r>
          </w:p>
          <w:p w:rsidR="007F71FD" w:rsidRPr="00AF25E9" w:rsidRDefault="007F71FD" w:rsidP="008D22F4">
            <w:pPr>
              <w:pStyle w:val="ListParagraph"/>
              <w:numPr>
                <w:ilvl w:val="0"/>
                <w:numId w:val="2"/>
              </w:numPr>
              <w:spacing w:after="0" w:line="240" w:lineRule="auto"/>
              <w:ind w:left="612" w:hanging="252"/>
              <w:rPr>
                <w:rFonts w:ascii="Candara" w:eastAsiaTheme="minorHAnsi" w:hAnsi="Candara"/>
                <w:smallCaps/>
                <w:lang w:val="de-DE"/>
              </w:rPr>
            </w:pPr>
            <w:r w:rsidRPr="00C33FB3">
              <w:rPr>
                <w:rFonts w:ascii="Candara" w:eastAsiaTheme="minorHAnsi" w:hAnsi="Candara"/>
                <w:bCs/>
                <w:lang w:val="de-DE"/>
              </w:rPr>
              <w:t>Flämi</w:t>
            </w:r>
            <w:r w:rsidRPr="00C33FB3">
              <w:rPr>
                <w:rFonts w:ascii="Candara" w:eastAsiaTheme="minorHAnsi" w:hAnsi="Candara"/>
                <w:lang w:val="de-DE"/>
              </w:rPr>
              <w:t xml:space="preserve">g, Walter (1991): </w:t>
            </w:r>
            <w:r w:rsidRPr="00C33FB3">
              <w:rPr>
                <w:rFonts w:ascii="Candara" w:eastAsiaTheme="minorHAnsi" w:hAnsi="Candara"/>
                <w:i/>
                <w:lang w:val="de-DE"/>
              </w:rPr>
              <w:t>Grammatik des Deutschen: Einführung in Struktur- und Wirkungszusammenhänge</w:t>
            </w:r>
            <w:r w:rsidRPr="00C33FB3">
              <w:rPr>
                <w:rFonts w:ascii="Candara" w:eastAsiaTheme="minorHAnsi" w:hAnsi="Candara"/>
                <w:lang w:val="de-DE"/>
              </w:rPr>
              <w:t>.</w:t>
            </w:r>
            <w:r w:rsidRPr="00AF25E9">
              <w:rPr>
                <w:rFonts w:ascii="Candara" w:eastAsiaTheme="minorHAnsi" w:hAnsi="Candara"/>
                <w:lang w:val="de-DE"/>
              </w:rPr>
              <w:t xml:space="preserve">Berlin: </w:t>
            </w:r>
            <w:r w:rsidRPr="00AF25E9">
              <w:rPr>
                <w:rFonts w:ascii="Candara" w:eastAsiaTheme="minorHAnsi" w:hAnsi="Candara"/>
                <w:bCs/>
                <w:lang w:val="de-DE"/>
              </w:rPr>
              <w:t xml:space="preserve">Akademie. </w:t>
            </w:r>
          </w:p>
          <w:p w:rsidR="007F71FD" w:rsidRPr="00AF25E9" w:rsidRDefault="007F71FD" w:rsidP="00E16899">
            <w:pPr>
              <w:pStyle w:val="ListParagraph"/>
              <w:numPr>
                <w:ilvl w:val="0"/>
                <w:numId w:val="2"/>
              </w:numPr>
              <w:spacing w:after="0" w:line="240" w:lineRule="auto"/>
              <w:ind w:left="612" w:hanging="252"/>
              <w:rPr>
                <w:rFonts w:ascii="Candara" w:eastAsiaTheme="minorHAnsi" w:hAnsi="Candara"/>
                <w:lang w:val="de-DE"/>
              </w:rPr>
            </w:pPr>
            <w:r w:rsidRPr="00E16899">
              <w:rPr>
                <w:rFonts w:ascii="Candara" w:eastAsiaTheme="minorHAnsi" w:hAnsi="Candara"/>
                <w:bCs/>
                <w:lang w:val="de-DE"/>
              </w:rPr>
              <w:t>Helbig</w:t>
            </w:r>
            <w:r w:rsidRPr="00C33FB3">
              <w:rPr>
                <w:rFonts w:ascii="Candara" w:eastAsiaTheme="minorHAnsi" w:hAnsi="Candara"/>
                <w:bCs/>
                <w:lang w:val="sr-Cyrl-CS"/>
              </w:rPr>
              <w:t xml:space="preserve">, </w:t>
            </w:r>
            <w:r w:rsidRPr="00E16899">
              <w:rPr>
                <w:rFonts w:ascii="Candara" w:eastAsiaTheme="minorHAnsi" w:hAnsi="Candara"/>
                <w:bCs/>
                <w:lang w:val="de-DE"/>
              </w:rPr>
              <w:t>Gerhard / Busch</w:t>
            </w:r>
            <w:r w:rsidRPr="00E16899">
              <w:rPr>
                <w:rFonts w:ascii="Candara" w:eastAsiaTheme="minorHAnsi" w:hAnsi="Candara"/>
                <w:lang w:val="de-DE"/>
              </w:rPr>
              <w:t>a</w:t>
            </w:r>
            <w:r w:rsidRPr="00E16899">
              <w:rPr>
                <w:rFonts w:ascii="Candara" w:eastAsiaTheme="minorHAnsi" w:hAnsi="Candara"/>
                <w:bCs/>
                <w:lang w:val="de-DE"/>
              </w:rPr>
              <w:t>, Joachim</w:t>
            </w:r>
            <w:r w:rsidRPr="00E16899">
              <w:rPr>
                <w:rFonts w:ascii="Candara" w:eastAsiaTheme="minorHAnsi" w:hAnsi="Candara"/>
                <w:lang w:val="de-DE"/>
              </w:rPr>
              <w:t>(</w:t>
            </w:r>
            <w:r w:rsidRPr="00E16899">
              <w:rPr>
                <w:rFonts w:ascii="Candara" w:eastAsiaTheme="minorHAnsi" w:hAnsi="Candara"/>
                <w:bCs/>
                <w:lang w:val="de-DE"/>
              </w:rPr>
              <w:t>2001</w:t>
            </w:r>
            <w:r w:rsidRPr="00E16899">
              <w:rPr>
                <w:rFonts w:ascii="Candara" w:eastAsiaTheme="minorHAnsi" w:hAnsi="Candara"/>
                <w:lang w:val="de-DE"/>
              </w:rPr>
              <w:t xml:space="preserve">): </w:t>
            </w:r>
            <w:r w:rsidRPr="00E16899">
              <w:rPr>
                <w:rFonts w:ascii="Candara" w:eastAsiaTheme="minorHAnsi" w:hAnsi="Candara"/>
                <w:i/>
                <w:lang w:val="de-DE"/>
              </w:rPr>
              <w:t>Deutsche Grammatik</w:t>
            </w:r>
            <w:r w:rsidRPr="00E16899">
              <w:rPr>
                <w:rFonts w:ascii="Candara" w:eastAsiaTheme="minorHAnsi" w:hAnsi="Candara"/>
                <w:lang w:val="de-DE"/>
              </w:rPr>
              <w:t>.</w:t>
            </w:r>
            <w:r w:rsidR="00262BA7" w:rsidRPr="00AF25E9">
              <w:rPr>
                <w:rFonts w:ascii="Candara" w:eastAsiaTheme="minorHAnsi" w:hAnsi="Candara"/>
                <w:lang w:val="de-DE"/>
              </w:rPr>
              <w:t>Leipzig</w:t>
            </w:r>
            <w:r w:rsidRPr="00AF25E9">
              <w:rPr>
                <w:rFonts w:ascii="Candara" w:eastAsiaTheme="minorHAnsi" w:hAnsi="Candara"/>
                <w:lang w:val="de-DE"/>
              </w:rPr>
              <w:t>: Langenscheidt</w:t>
            </w:r>
            <w:r w:rsidR="00E16899" w:rsidRPr="00AF25E9">
              <w:rPr>
                <w:rFonts w:ascii="Candara" w:hAnsi="Candara"/>
                <w:lang w:val="de-DE"/>
              </w:rPr>
              <w:t>–</w:t>
            </w:r>
            <w:r w:rsidR="00E16899">
              <w:rPr>
                <w:rFonts w:ascii="Candara" w:hAnsi="Candara"/>
                <w:lang w:val="de-DE"/>
              </w:rPr>
              <w:t xml:space="preserve"> Enzyklopädie</w:t>
            </w:r>
            <w:r w:rsidRPr="00AF25E9">
              <w:rPr>
                <w:rFonts w:ascii="Candara" w:eastAsiaTheme="minorHAnsi" w:hAnsi="Candara"/>
                <w:lang w:val="de-DE"/>
              </w:rPr>
              <w:t xml:space="preserve">. </w:t>
            </w:r>
          </w:p>
          <w:p w:rsidR="007F71FD" w:rsidRPr="00E16899" w:rsidRDefault="007F71FD" w:rsidP="004D7588">
            <w:pPr>
              <w:pStyle w:val="ListParagraph"/>
              <w:numPr>
                <w:ilvl w:val="0"/>
                <w:numId w:val="2"/>
              </w:numPr>
              <w:spacing w:after="0" w:line="240" w:lineRule="auto"/>
              <w:ind w:left="612" w:hanging="252"/>
              <w:rPr>
                <w:rFonts w:ascii="Candara" w:eastAsiaTheme="minorHAnsi" w:hAnsi="Candara"/>
                <w:lang w:val="de-DE"/>
              </w:rPr>
            </w:pPr>
            <w:r w:rsidRPr="00E16899">
              <w:rPr>
                <w:rFonts w:ascii="Candara" w:eastAsiaTheme="minorHAnsi" w:hAnsi="Candara"/>
                <w:bCs/>
                <w:lang w:val="de-DE"/>
              </w:rPr>
              <w:t>Hentschel, Elke / Weyd</w:t>
            </w:r>
            <w:r w:rsidRPr="00E16899">
              <w:rPr>
                <w:rFonts w:ascii="Candara" w:eastAsiaTheme="minorHAnsi" w:hAnsi="Candara"/>
                <w:lang w:val="de-DE"/>
              </w:rPr>
              <w:t>t</w:t>
            </w:r>
            <w:r w:rsidRPr="00E16899">
              <w:rPr>
                <w:rFonts w:ascii="Candara" w:eastAsiaTheme="minorHAnsi" w:hAnsi="Candara"/>
                <w:bCs/>
                <w:lang w:val="de-DE"/>
              </w:rPr>
              <w:t xml:space="preserve"> Harald </w:t>
            </w:r>
            <w:r w:rsidRPr="00E16899">
              <w:rPr>
                <w:rFonts w:ascii="Candara" w:eastAsiaTheme="minorHAnsi" w:hAnsi="Candara"/>
                <w:lang w:val="de-DE"/>
              </w:rPr>
              <w:t>(</w:t>
            </w:r>
            <w:r w:rsidRPr="00E16899">
              <w:rPr>
                <w:rFonts w:ascii="Candara" w:eastAsiaTheme="minorHAnsi" w:hAnsi="Candara"/>
                <w:bCs/>
                <w:lang w:val="de-DE"/>
              </w:rPr>
              <w:t>2003</w:t>
            </w:r>
            <w:r w:rsidRPr="00E16899">
              <w:rPr>
                <w:rFonts w:ascii="Candara" w:eastAsiaTheme="minorHAnsi" w:hAnsi="Candara"/>
                <w:lang w:val="de-DE"/>
              </w:rPr>
              <w:t xml:space="preserve">): </w:t>
            </w:r>
            <w:r w:rsidRPr="00E16899">
              <w:rPr>
                <w:rFonts w:ascii="Candara" w:eastAsiaTheme="minorHAnsi" w:hAnsi="Candara"/>
                <w:i/>
                <w:lang w:val="de-DE"/>
              </w:rPr>
              <w:t>Handbuch der deutschen Grammatik</w:t>
            </w:r>
            <w:r w:rsidRPr="00E16899">
              <w:rPr>
                <w:rFonts w:ascii="Candara" w:eastAsiaTheme="minorHAnsi" w:hAnsi="Candara"/>
                <w:lang w:val="de-DE"/>
              </w:rPr>
              <w:t>.</w:t>
            </w:r>
            <w:r w:rsidRPr="00E16899">
              <w:rPr>
                <w:rFonts w:ascii="Candara" w:eastAsiaTheme="minorHAnsi" w:hAnsi="Candara"/>
                <w:color w:val="000000"/>
                <w:shd w:val="clear" w:color="auto" w:fill="FFFFFF"/>
                <w:lang w:val="de-DE"/>
              </w:rPr>
              <w:t xml:space="preserve">Berlin / New York: de Gruyter. </w:t>
            </w:r>
          </w:p>
          <w:p w:rsidR="007F71FD" w:rsidRPr="00E16899" w:rsidRDefault="007F71FD" w:rsidP="004D7588">
            <w:pPr>
              <w:pStyle w:val="ListParagraph"/>
              <w:numPr>
                <w:ilvl w:val="0"/>
                <w:numId w:val="2"/>
              </w:numPr>
              <w:spacing w:after="0" w:line="240" w:lineRule="auto"/>
              <w:ind w:left="612" w:hanging="252"/>
              <w:rPr>
                <w:rFonts w:ascii="Candara" w:eastAsiaTheme="minorHAnsi" w:hAnsi="Candara"/>
                <w:lang w:val="de-DE"/>
              </w:rPr>
            </w:pPr>
            <w:r w:rsidRPr="00E16899">
              <w:rPr>
                <w:rFonts w:ascii="Candara" w:eastAsiaTheme="minorHAnsi" w:hAnsi="Candara"/>
                <w:lang w:val="de-DE"/>
              </w:rPr>
              <w:t xml:space="preserve">Glinz, Hans (1994): </w:t>
            </w:r>
            <w:r w:rsidRPr="00E16899">
              <w:rPr>
                <w:rFonts w:ascii="Candara" w:eastAsiaTheme="minorHAnsi" w:hAnsi="Candara"/>
                <w:i/>
                <w:lang w:val="de-DE"/>
              </w:rPr>
              <w:t>Grammatiken im Vergleich</w:t>
            </w:r>
            <w:r w:rsidRPr="00E16899">
              <w:rPr>
                <w:rFonts w:ascii="Candara" w:eastAsiaTheme="minorHAnsi" w:hAnsi="Candara"/>
                <w:lang w:val="de-DE"/>
              </w:rPr>
              <w:t>.Tübingen: Niemeyer Verlag.</w:t>
            </w:r>
          </w:p>
          <w:p w:rsidR="00705D90" w:rsidRPr="00C33FB3" w:rsidRDefault="007F71FD" w:rsidP="004D7588">
            <w:pPr>
              <w:pStyle w:val="ListParagraph"/>
              <w:numPr>
                <w:ilvl w:val="0"/>
                <w:numId w:val="2"/>
              </w:numPr>
              <w:spacing w:after="0" w:line="240" w:lineRule="auto"/>
              <w:ind w:left="612" w:hanging="252"/>
              <w:rPr>
                <w:rFonts w:ascii="Candara" w:eastAsiaTheme="minorHAnsi" w:hAnsi="Candara"/>
                <w:lang w:val="de-DE"/>
              </w:rPr>
            </w:pPr>
            <w:r w:rsidRPr="00C33FB3">
              <w:rPr>
                <w:rFonts w:ascii="Candara" w:eastAsiaTheme="minorHAnsi" w:hAnsi="Candara"/>
                <w:lang w:val="de-DE"/>
              </w:rPr>
              <w:t xml:space="preserve">Tesnière, Lucien (1980): </w:t>
            </w:r>
            <w:r w:rsidRPr="00C33FB3">
              <w:rPr>
                <w:rFonts w:ascii="Candara" w:eastAsiaTheme="minorHAnsi" w:hAnsi="Candara"/>
                <w:i/>
                <w:lang w:val="de-DE"/>
              </w:rPr>
              <w:t>Grundzüge der strukturalen Syntax</w:t>
            </w:r>
            <w:r w:rsidRPr="00C33FB3">
              <w:rPr>
                <w:rFonts w:ascii="Candara" w:eastAsiaTheme="minorHAnsi" w:hAnsi="Candara"/>
                <w:lang w:val="de-DE"/>
              </w:rPr>
              <w:t xml:space="preserve">.Stuttgart: Klett-Cotta. </w:t>
            </w:r>
          </w:p>
        </w:tc>
      </w:tr>
      <w:tr w:rsidR="00681727" w:rsidRPr="000B6598" w:rsidTr="00151FE1">
        <w:trPr>
          <w:trHeight w:val="562"/>
        </w:trPr>
        <w:tc>
          <w:tcPr>
            <w:tcW w:w="10440" w:type="dxa"/>
            <w:gridSpan w:val="4"/>
            <w:shd w:val="clear" w:color="auto" w:fill="B8CCE4" w:themeFill="accent1" w:themeFillTint="66"/>
            <w:vAlign w:val="center"/>
          </w:tcPr>
          <w:p w:rsidR="00681727" w:rsidRPr="00C33FB3" w:rsidRDefault="00681727" w:rsidP="00151FE1">
            <w:pPr>
              <w:tabs>
                <w:tab w:val="left" w:pos="360"/>
              </w:tabs>
              <w:rPr>
                <w:rFonts w:ascii="Candara" w:hAnsi="Candara"/>
                <w:b/>
                <w:sz w:val="20"/>
                <w:szCs w:val="20"/>
                <w:lang w:val="de-DE"/>
              </w:rPr>
            </w:pPr>
            <w:r w:rsidRPr="00C33FB3">
              <w:rPr>
                <w:rFonts w:ascii="Candara" w:hAnsi="Candara"/>
                <w:b/>
                <w:sz w:val="20"/>
                <w:szCs w:val="20"/>
                <w:lang w:val="de-DE"/>
              </w:rPr>
              <w:t>ASSESSMENT METHODS AND CRITERIA</w:t>
            </w:r>
          </w:p>
        </w:tc>
      </w:tr>
      <w:tr w:rsidR="00681727" w:rsidRPr="00FE3074" w:rsidTr="00151FE1">
        <w:trPr>
          <w:trHeight w:val="562"/>
        </w:trPr>
        <w:tc>
          <w:tcPr>
            <w:tcW w:w="10440" w:type="dxa"/>
            <w:gridSpan w:val="4"/>
            <w:shd w:val="clear" w:color="auto" w:fill="auto"/>
            <w:vAlign w:val="center"/>
          </w:tcPr>
          <w:tbl>
            <w:tblPr>
              <w:tblStyle w:val="TableGrid"/>
              <w:tblW w:w="10214" w:type="dxa"/>
              <w:tblBorders>
                <w:top w:val="none" w:sz="0" w:space="0" w:color="auto"/>
                <w:left w:val="none" w:sz="0" w:space="0" w:color="auto"/>
                <w:bottom w:val="none" w:sz="0" w:space="0" w:color="auto"/>
                <w:right w:val="none" w:sz="0" w:space="0" w:color="auto"/>
              </w:tblBorders>
              <w:tblLook w:val="04A0"/>
            </w:tblPr>
            <w:tblGrid>
              <w:gridCol w:w="2908"/>
              <w:gridCol w:w="1896"/>
              <w:gridCol w:w="1734"/>
              <w:gridCol w:w="1942"/>
              <w:gridCol w:w="1734"/>
            </w:tblGrid>
            <w:tr w:rsidR="00681727" w:rsidRPr="00C33FB3" w:rsidTr="00151FE1">
              <w:trPr>
                <w:trHeight w:val="432"/>
              </w:trPr>
              <w:tc>
                <w:tcPr>
                  <w:tcW w:w="2908" w:type="dxa"/>
                </w:tcPr>
                <w:p w:rsidR="00681727" w:rsidRPr="00C33FB3" w:rsidRDefault="00681727" w:rsidP="00151FE1">
                  <w:pPr>
                    <w:rPr>
                      <w:rFonts w:ascii="Candara" w:hAnsi="Candara"/>
                      <w:sz w:val="20"/>
                      <w:szCs w:val="20"/>
                      <w:lang w:val="de-DE"/>
                    </w:rPr>
                  </w:pPr>
                  <w:r w:rsidRPr="00C33FB3">
                    <w:rPr>
                      <w:rFonts w:ascii="Candara" w:hAnsi="Candara"/>
                      <w:sz w:val="20"/>
                      <w:szCs w:val="20"/>
                      <w:lang w:val="de-DE"/>
                    </w:rPr>
                    <w:t>Vorprüfungsverpflichtungen</w:t>
                  </w:r>
                </w:p>
              </w:tc>
              <w:tc>
                <w:tcPr>
                  <w:tcW w:w="1896" w:type="dxa"/>
                </w:tcPr>
                <w:p w:rsidR="00681727" w:rsidRPr="00C33FB3" w:rsidRDefault="00681727" w:rsidP="00151FE1">
                  <w:pPr>
                    <w:rPr>
                      <w:rFonts w:ascii="Candara" w:hAnsi="Candara"/>
                      <w:sz w:val="20"/>
                      <w:szCs w:val="20"/>
                      <w:lang w:val="de-DE"/>
                    </w:rPr>
                  </w:pPr>
                  <w:r w:rsidRPr="00C33FB3">
                    <w:rPr>
                      <w:rFonts w:ascii="Candara" w:hAnsi="Candara"/>
                      <w:sz w:val="20"/>
                      <w:szCs w:val="20"/>
                      <w:lang w:val="de-DE"/>
                    </w:rPr>
                    <w:t>Obligatorisch</w:t>
                  </w:r>
                </w:p>
              </w:tc>
              <w:tc>
                <w:tcPr>
                  <w:tcW w:w="1734" w:type="dxa"/>
                </w:tcPr>
                <w:p w:rsidR="00681727" w:rsidRPr="00C33FB3" w:rsidRDefault="00681727" w:rsidP="00151FE1">
                  <w:pPr>
                    <w:rPr>
                      <w:rFonts w:ascii="Candara" w:hAnsi="Candara"/>
                      <w:sz w:val="20"/>
                      <w:szCs w:val="20"/>
                      <w:lang w:val="de-DE"/>
                    </w:rPr>
                  </w:pPr>
                  <w:r w:rsidRPr="00C33FB3">
                    <w:rPr>
                      <w:rFonts w:ascii="Candara" w:hAnsi="Candara"/>
                      <w:sz w:val="20"/>
                      <w:szCs w:val="20"/>
                      <w:lang w:val="de-DE"/>
                    </w:rPr>
                    <w:t>Punkte</w:t>
                  </w:r>
                </w:p>
              </w:tc>
              <w:tc>
                <w:tcPr>
                  <w:tcW w:w="1942" w:type="dxa"/>
                </w:tcPr>
                <w:p w:rsidR="00681727" w:rsidRPr="00C33FB3" w:rsidRDefault="00681727" w:rsidP="00151FE1">
                  <w:pPr>
                    <w:rPr>
                      <w:rFonts w:ascii="Candara" w:hAnsi="Candara"/>
                      <w:sz w:val="20"/>
                      <w:szCs w:val="20"/>
                      <w:lang w:val="de-DE"/>
                    </w:rPr>
                  </w:pPr>
                  <w:r w:rsidRPr="00C33FB3">
                    <w:rPr>
                      <w:rFonts w:ascii="Candara" w:hAnsi="Candara"/>
                      <w:sz w:val="20"/>
                      <w:szCs w:val="20"/>
                      <w:lang w:val="de-DE"/>
                    </w:rPr>
                    <w:t>Abschließende Prüfung</w:t>
                  </w:r>
                </w:p>
              </w:tc>
              <w:tc>
                <w:tcPr>
                  <w:tcW w:w="1734" w:type="dxa"/>
                </w:tcPr>
                <w:p w:rsidR="00681727" w:rsidRPr="00C33FB3" w:rsidRDefault="00681727" w:rsidP="00151FE1">
                  <w:pPr>
                    <w:rPr>
                      <w:rFonts w:ascii="Candara" w:hAnsi="Candara"/>
                      <w:sz w:val="20"/>
                      <w:szCs w:val="20"/>
                      <w:lang w:val="de-DE"/>
                    </w:rPr>
                  </w:pPr>
                  <w:r w:rsidRPr="00C33FB3">
                    <w:rPr>
                      <w:rFonts w:ascii="Candara" w:hAnsi="Candara"/>
                      <w:sz w:val="20"/>
                      <w:szCs w:val="20"/>
                      <w:lang w:val="de-DE"/>
                    </w:rPr>
                    <w:t>Punkte</w:t>
                  </w:r>
                </w:p>
              </w:tc>
            </w:tr>
            <w:tr w:rsidR="00681727" w:rsidRPr="00C33FB3" w:rsidTr="00151FE1">
              <w:tc>
                <w:tcPr>
                  <w:tcW w:w="2908" w:type="dxa"/>
                </w:tcPr>
                <w:p w:rsidR="00681727" w:rsidRPr="00C33FB3" w:rsidRDefault="00390539" w:rsidP="00151FE1">
                  <w:pPr>
                    <w:rPr>
                      <w:rFonts w:ascii="Candara" w:hAnsi="Candara"/>
                      <w:sz w:val="20"/>
                      <w:szCs w:val="20"/>
                      <w:lang w:val="de-DE"/>
                    </w:rPr>
                  </w:pPr>
                  <w:r w:rsidRPr="00C33FB3">
                    <w:rPr>
                      <w:rFonts w:ascii="Candara" w:hAnsi="Candara"/>
                      <w:sz w:val="20"/>
                      <w:szCs w:val="20"/>
                      <w:lang w:val="de-DE"/>
                    </w:rPr>
                    <w:t>Projekt</w:t>
                  </w:r>
                </w:p>
              </w:tc>
              <w:tc>
                <w:tcPr>
                  <w:tcW w:w="1896" w:type="dxa"/>
                </w:tcPr>
                <w:p w:rsidR="00681727" w:rsidRPr="00C33FB3" w:rsidRDefault="00681727" w:rsidP="00151FE1">
                  <w:pPr>
                    <w:jc w:val="center"/>
                    <w:rPr>
                      <w:rFonts w:ascii="Candara" w:hAnsi="Candara"/>
                      <w:sz w:val="20"/>
                      <w:szCs w:val="20"/>
                      <w:lang w:val="de-DE"/>
                    </w:rPr>
                  </w:pPr>
                  <w:r w:rsidRPr="00C33FB3">
                    <w:rPr>
                      <w:rFonts w:ascii="Candara" w:hAnsi="Candara"/>
                      <w:sz w:val="20"/>
                      <w:szCs w:val="20"/>
                      <w:lang w:val="de-DE"/>
                    </w:rPr>
                    <w:t>Ja</w:t>
                  </w:r>
                </w:p>
              </w:tc>
              <w:tc>
                <w:tcPr>
                  <w:tcW w:w="1734" w:type="dxa"/>
                </w:tcPr>
                <w:p w:rsidR="00681727" w:rsidRPr="00C33FB3" w:rsidRDefault="00681727" w:rsidP="00151FE1">
                  <w:pPr>
                    <w:jc w:val="right"/>
                    <w:rPr>
                      <w:rFonts w:ascii="Candara" w:hAnsi="Candara"/>
                      <w:sz w:val="20"/>
                      <w:szCs w:val="20"/>
                      <w:lang w:val="de-DE"/>
                    </w:rPr>
                  </w:pPr>
                  <w:r w:rsidRPr="00C33FB3">
                    <w:rPr>
                      <w:rFonts w:ascii="Candara" w:hAnsi="Candara"/>
                      <w:sz w:val="20"/>
                      <w:szCs w:val="20"/>
                      <w:lang w:val="de-DE"/>
                    </w:rPr>
                    <w:t>45.00</w:t>
                  </w:r>
                </w:p>
              </w:tc>
              <w:tc>
                <w:tcPr>
                  <w:tcW w:w="1942" w:type="dxa"/>
                  <w:tcBorders>
                    <w:bottom w:val="single" w:sz="4" w:space="0" w:color="auto"/>
                  </w:tcBorders>
                </w:tcPr>
                <w:p w:rsidR="00681727" w:rsidRPr="00C33FB3" w:rsidRDefault="00681727" w:rsidP="00151FE1">
                  <w:pPr>
                    <w:rPr>
                      <w:rFonts w:ascii="Candara" w:hAnsi="Candara"/>
                      <w:sz w:val="20"/>
                      <w:szCs w:val="20"/>
                      <w:lang w:val="de-DE"/>
                    </w:rPr>
                  </w:pPr>
                  <w:r w:rsidRPr="00C33FB3">
                    <w:rPr>
                      <w:rFonts w:ascii="Candara" w:hAnsi="Candara"/>
                      <w:sz w:val="20"/>
                      <w:szCs w:val="20"/>
                      <w:lang w:val="de-DE"/>
                    </w:rPr>
                    <w:t>Mündliche Prüfung</w:t>
                  </w:r>
                </w:p>
              </w:tc>
              <w:tc>
                <w:tcPr>
                  <w:tcW w:w="1734" w:type="dxa"/>
                  <w:tcBorders>
                    <w:bottom w:val="single" w:sz="4" w:space="0" w:color="auto"/>
                  </w:tcBorders>
                </w:tcPr>
                <w:p w:rsidR="00681727" w:rsidRPr="00C33FB3" w:rsidRDefault="00681727" w:rsidP="00151FE1">
                  <w:pPr>
                    <w:jc w:val="right"/>
                    <w:rPr>
                      <w:rFonts w:ascii="Candara" w:hAnsi="Candara"/>
                      <w:sz w:val="20"/>
                      <w:szCs w:val="20"/>
                      <w:lang w:val="de-DE"/>
                    </w:rPr>
                  </w:pPr>
                  <w:r w:rsidRPr="00C33FB3">
                    <w:rPr>
                      <w:rFonts w:ascii="Candara" w:hAnsi="Candara"/>
                      <w:sz w:val="20"/>
                      <w:szCs w:val="20"/>
                      <w:lang w:val="de-DE"/>
                    </w:rPr>
                    <w:t>55.00</w:t>
                  </w:r>
                </w:p>
              </w:tc>
            </w:tr>
          </w:tbl>
          <w:p w:rsidR="00681727" w:rsidRPr="00C33FB3" w:rsidRDefault="00681727" w:rsidP="00151FE1">
            <w:pPr>
              <w:tabs>
                <w:tab w:val="left" w:pos="360"/>
              </w:tabs>
              <w:rPr>
                <w:rFonts w:ascii="Candara" w:hAnsi="Candara"/>
                <w:b/>
                <w:sz w:val="20"/>
                <w:szCs w:val="20"/>
              </w:rPr>
            </w:pPr>
          </w:p>
        </w:tc>
      </w:tr>
      <w:tr w:rsidR="00681727" w:rsidRPr="00FE3074" w:rsidTr="00151FE1">
        <w:trPr>
          <w:trHeight w:val="562"/>
        </w:trPr>
        <w:tc>
          <w:tcPr>
            <w:tcW w:w="10440" w:type="dxa"/>
            <w:gridSpan w:val="4"/>
            <w:shd w:val="clear" w:color="auto" w:fill="B8CCE4" w:themeFill="accent1" w:themeFillTint="66"/>
            <w:vAlign w:val="center"/>
          </w:tcPr>
          <w:p w:rsidR="00681727" w:rsidRPr="00C33FB3" w:rsidRDefault="00681727" w:rsidP="00151FE1">
            <w:pPr>
              <w:tabs>
                <w:tab w:val="left" w:pos="360"/>
              </w:tabs>
              <w:rPr>
                <w:rFonts w:ascii="Candara" w:hAnsi="Candara"/>
                <w:b/>
                <w:sz w:val="20"/>
                <w:szCs w:val="20"/>
              </w:rPr>
            </w:pPr>
            <w:r w:rsidRPr="00C33FB3">
              <w:rPr>
                <w:rFonts w:ascii="Candara" w:hAnsi="Candara"/>
                <w:b/>
                <w:sz w:val="20"/>
                <w:szCs w:val="20"/>
              </w:rPr>
              <w:t>LANGUAGE OF INSTRUCTION</w:t>
            </w:r>
          </w:p>
        </w:tc>
      </w:tr>
      <w:tr w:rsidR="00681727" w:rsidRPr="00FE3074" w:rsidTr="00151FE1">
        <w:trPr>
          <w:trHeight w:val="562"/>
        </w:trPr>
        <w:tc>
          <w:tcPr>
            <w:tcW w:w="10440" w:type="dxa"/>
            <w:gridSpan w:val="4"/>
            <w:shd w:val="clear" w:color="auto" w:fill="auto"/>
            <w:vAlign w:val="center"/>
          </w:tcPr>
          <w:p w:rsidR="00681727" w:rsidRPr="00C33FB3" w:rsidRDefault="00681727" w:rsidP="00151FE1">
            <w:pPr>
              <w:tabs>
                <w:tab w:val="left" w:pos="360"/>
              </w:tabs>
              <w:rPr>
                <w:rFonts w:ascii="Candara" w:hAnsi="Candara"/>
                <w:b/>
                <w:sz w:val="20"/>
                <w:szCs w:val="20"/>
              </w:rPr>
            </w:pPr>
            <w:r w:rsidRPr="00C33FB3">
              <w:rPr>
                <w:rFonts w:ascii="Candara" w:hAnsi="Candara"/>
                <w:sz w:val="20"/>
                <w:szCs w:val="20"/>
              </w:rPr>
              <w:t>Deutsch</w:t>
            </w:r>
          </w:p>
        </w:tc>
      </w:tr>
    </w:tbl>
    <w:p w:rsidR="004F3C1B" w:rsidRDefault="004F3C1B"/>
    <w:sectPr w:rsidR="004F3C1B" w:rsidSect="006B11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6A" w:rsidRDefault="0066566A" w:rsidP="00681727">
      <w:pPr>
        <w:spacing w:after="0" w:line="240" w:lineRule="auto"/>
      </w:pPr>
      <w:r>
        <w:separator/>
      </w:r>
    </w:p>
  </w:endnote>
  <w:endnote w:type="continuationSeparator" w:id="0">
    <w:p w:rsidR="0066566A" w:rsidRDefault="0066566A" w:rsidP="0068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6A" w:rsidRDefault="0066566A" w:rsidP="00681727">
      <w:pPr>
        <w:spacing w:after="0" w:line="240" w:lineRule="auto"/>
      </w:pPr>
      <w:r>
        <w:separator/>
      </w:r>
    </w:p>
  </w:footnote>
  <w:footnote w:type="continuationSeparator" w:id="0">
    <w:p w:rsidR="0066566A" w:rsidRDefault="0066566A" w:rsidP="00681727">
      <w:pPr>
        <w:spacing w:after="0" w:line="240" w:lineRule="auto"/>
      </w:pPr>
      <w:r>
        <w:continuationSeparator/>
      </w:r>
    </w:p>
  </w:footnote>
  <w:footnote w:id="1">
    <w:p w:rsidR="00681727" w:rsidRPr="00E857F8" w:rsidRDefault="00681727" w:rsidP="00681727">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681727" w:rsidRPr="00E857F8" w:rsidRDefault="00681727" w:rsidP="00681727">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681727" w:rsidRPr="00C60C45" w:rsidRDefault="00681727" w:rsidP="00681727">
      <w:pPr>
        <w:pStyle w:val="FootnoteText"/>
        <w:rPr>
          <w:sz w:val="16"/>
          <w:szCs w:val="16"/>
          <w:lang w:val="en-US"/>
        </w:rPr>
      </w:pPr>
      <w:r>
        <w:rPr>
          <w:rStyle w:val="FootnoteReference"/>
        </w:rPr>
        <w:footnoteRef/>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681727" w:rsidRPr="00E857F8" w:rsidRDefault="00681727" w:rsidP="00681727">
      <w:pPr>
        <w:pStyle w:val="FootnoteText"/>
        <w:rPr>
          <w:rFonts w:asciiTheme="minorHAnsi" w:hAnsiTheme="minorHAnsi"/>
          <w:sz w:val="18"/>
          <w:szCs w:val="18"/>
        </w:rPr>
      </w:pPr>
      <w:r w:rsidRPr="00E857F8">
        <w:rPr>
          <w:rStyle w:val="FootnoteReference"/>
          <w:rFonts w:asciiTheme="minorHAnsi" w:hAnsiTheme="minorHAnsi"/>
          <w:sz w:val="18"/>
          <w:szCs w:val="18"/>
        </w:rPr>
        <w:footnoteRef/>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327"/>
    <w:multiLevelType w:val="hybridMultilevel"/>
    <w:tmpl w:val="9B8E0D9C"/>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55B58"/>
    <w:multiLevelType w:val="hybridMultilevel"/>
    <w:tmpl w:val="F29CD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681727"/>
    <w:rsid w:val="000A3694"/>
    <w:rsid w:val="000E2C16"/>
    <w:rsid w:val="00262BA7"/>
    <w:rsid w:val="00347B9F"/>
    <w:rsid w:val="00390539"/>
    <w:rsid w:val="004007C0"/>
    <w:rsid w:val="0040593B"/>
    <w:rsid w:val="00443372"/>
    <w:rsid w:val="004D7588"/>
    <w:rsid w:val="004F3C1B"/>
    <w:rsid w:val="005E640C"/>
    <w:rsid w:val="0066566A"/>
    <w:rsid w:val="00681727"/>
    <w:rsid w:val="006B11D7"/>
    <w:rsid w:val="00705D90"/>
    <w:rsid w:val="00782CF4"/>
    <w:rsid w:val="007E1A8B"/>
    <w:rsid w:val="007F71FD"/>
    <w:rsid w:val="008D22F4"/>
    <w:rsid w:val="00AF25E9"/>
    <w:rsid w:val="00B95E81"/>
    <w:rsid w:val="00C33FB3"/>
    <w:rsid w:val="00C36571"/>
    <w:rsid w:val="00CA4B9C"/>
    <w:rsid w:val="00D468C5"/>
    <w:rsid w:val="00E16899"/>
    <w:rsid w:val="00E47FE1"/>
    <w:rsid w:val="00F646B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72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1727"/>
    <w:pPr>
      <w:suppressAutoHyphens/>
      <w:spacing w:after="0" w:line="240" w:lineRule="auto"/>
      <w:jc w:val="both"/>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semiHidden/>
    <w:rsid w:val="00681727"/>
    <w:rPr>
      <w:rFonts w:ascii="Arial" w:eastAsia="Times New Roman" w:hAnsi="Arial" w:cs="Times New Roman"/>
      <w:sz w:val="20"/>
      <w:szCs w:val="20"/>
      <w:lang w:val="en-GB" w:eastAsia="en-US"/>
    </w:rPr>
  </w:style>
  <w:style w:type="character" w:styleId="FootnoteReference">
    <w:name w:val="footnote reference"/>
    <w:basedOn w:val="DefaultParagraphFont"/>
    <w:uiPriority w:val="99"/>
    <w:semiHidden/>
    <w:unhideWhenUsed/>
    <w:rsid w:val="00681727"/>
    <w:rPr>
      <w:vertAlign w:val="superscript"/>
    </w:rPr>
  </w:style>
  <w:style w:type="character" w:styleId="Hyperlink">
    <w:name w:val="Hyperlink"/>
    <w:basedOn w:val="DefaultParagraphFont"/>
    <w:uiPriority w:val="99"/>
    <w:unhideWhenUsed/>
    <w:rsid w:val="00681727"/>
    <w:rPr>
      <w:color w:val="0000FF" w:themeColor="hyperlink"/>
      <w:u w:val="single"/>
    </w:rPr>
  </w:style>
  <w:style w:type="paragraph" w:styleId="ListParagraph">
    <w:name w:val="List Paragraph"/>
    <w:basedOn w:val="Normal"/>
    <w:uiPriority w:val="34"/>
    <w:qFormat/>
    <w:rsid w:val="00681727"/>
    <w:pPr>
      <w:suppressAutoHyphens/>
      <w:spacing w:after="120" w:line="264" w:lineRule="auto"/>
      <w:ind w:left="720"/>
      <w:contextualSpacing/>
      <w:jc w:val="both"/>
    </w:pPr>
    <w:rPr>
      <w:rFonts w:ascii="Arial" w:eastAsia="Times New Roman" w:hAnsi="Arial" w:cs="Times New Roman"/>
      <w:sz w:val="20"/>
      <w:szCs w:val="20"/>
      <w:lang w:val="en-GB" w:eastAsia="en-US"/>
    </w:rPr>
  </w:style>
  <w:style w:type="character" w:styleId="Emphasis">
    <w:name w:val="Emphasis"/>
    <w:basedOn w:val="DefaultParagraphFont"/>
    <w:uiPriority w:val="20"/>
    <w:qFormat/>
    <w:rsid w:val="00681727"/>
    <w:rPr>
      <w:i/>
      <w:iCs/>
    </w:rPr>
  </w:style>
  <w:style w:type="character" w:customStyle="1" w:styleId="apple-converted-space">
    <w:name w:val="apple-converted-space"/>
    <w:basedOn w:val="DefaultParagraphFont"/>
    <w:rsid w:val="00681727"/>
  </w:style>
  <w:style w:type="paragraph" w:styleId="BalloonText">
    <w:name w:val="Balloon Text"/>
    <w:basedOn w:val="Normal"/>
    <w:link w:val="BalloonTextChar"/>
    <w:uiPriority w:val="99"/>
    <w:semiHidden/>
    <w:unhideWhenUsed/>
    <w:rsid w:val="0068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2017-07-16T09:10:00Z</dcterms:created>
  <dcterms:modified xsi:type="dcterms:W3CDTF">2017-07-16T09:10:00Z</dcterms:modified>
</cp:coreProperties>
</file>